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D555F" w14:textId="53F426C7" w:rsidR="0062357C" w:rsidRPr="0062357C" w:rsidRDefault="0062357C" w:rsidP="0062357C">
      <w:pPr>
        <w:rPr>
          <w:b/>
          <w:bCs/>
          <w:lang w:val="fr-CA"/>
        </w:rPr>
      </w:pPr>
      <w:r w:rsidRPr="0062357C">
        <w:rPr>
          <w:b/>
          <w:lang w:val="fr-CA"/>
        </w:rPr>
        <w:t xml:space="preserve">Plan de gestion des données – Modèle </w:t>
      </w:r>
    </w:p>
    <w:p w14:paraId="3420EC56" w14:textId="77777777" w:rsidR="0062357C" w:rsidRPr="0062357C" w:rsidRDefault="0062357C" w:rsidP="0062357C">
      <w:pPr>
        <w:rPr>
          <w:lang w:val="fr-CA"/>
        </w:rPr>
      </w:pPr>
      <w:r w:rsidRPr="0062357C">
        <w:rPr>
          <w:lang w:val="fr-CA"/>
        </w:rPr>
        <w:t xml:space="preserve">Un plan de gestion des données décrit comment les données générées ou utilisées dans le cadre d’un projet seront gérées pendant et après la durée du projet. Ce plan doit comprendre des dispositions relatives à la collecte, à la documentation, au stockage, à la préservation et à la communication de données et tenir compte des exigences éthiques et juridiques. Le plan de gestion des données s’applique aux </w:t>
      </w:r>
      <w:r w:rsidRPr="0062357C">
        <w:rPr>
          <w:b/>
          <w:lang w:val="fr-CA"/>
        </w:rPr>
        <w:t>données numériques seulement</w:t>
      </w:r>
      <w:r w:rsidRPr="0062357C">
        <w:rPr>
          <w:lang w:val="fr-CA"/>
        </w:rPr>
        <w:t xml:space="preserve"> et </w:t>
      </w:r>
      <w:r w:rsidRPr="0062357C">
        <w:rPr>
          <w:b/>
          <w:lang w:val="fr-CA"/>
        </w:rPr>
        <w:t>n’inclut pas</w:t>
      </w:r>
      <w:r w:rsidRPr="0062357C">
        <w:rPr>
          <w:lang w:val="fr-CA"/>
        </w:rPr>
        <w:t xml:space="preserve"> les publications.</w:t>
      </w:r>
    </w:p>
    <w:p w14:paraId="6E177C60" w14:textId="77777777" w:rsidR="0062357C" w:rsidRPr="0062357C" w:rsidRDefault="0062357C" w:rsidP="0062357C">
      <w:pPr>
        <w:rPr>
          <w:lang w:val="fr-CA"/>
        </w:rPr>
      </w:pPr>
      <w:r w:rsidRPr="0062357C">
        <w:rPr>
          <w:lang w:val="fr-CA"/>
        </w:rPr>
        <w:t xml:space="preserve">Les personnes candidates doivent structurer leur plan de gestion des données selon les </w:t>
      </w:r>
      <w:r w:rsidRPr="0062357C">
        <w:rPr>
          <w:b/>
          <w:lang w:val="fr-CA"/>
        </w:rPr>
        <w:t>cinq rubriques suivantes</w:t>
      </w:r>
      <w:r w:rsidRPr="0062357C">
        <w:rPr>
          <w:lang w:val="fr-CA"/>
        </w:rPr>
        <w:t>.</w:t>
      </w:r>
    </w:p>
    <w:p w14:paraId="160B669D" w14:textId="77777777" w:rsidR="0062357C" w:rsidRPr="0062357C" w:rsidRDefault="0062357C" w:rsidP="0062357C">
      <w:pPr>
        <w:rPr>
          <w:lang w:val="fr-CA"/>
        </w:rPr>
      </w:pPr>
      <w:r w:rsidRPr="0062357C">
        <w:rPr>
          <w:lang w:val="fr-CA"/>
        </w:rPr>
        <w:t xml:space="preserve">On s’attend à ce que les bénéficiaires de subventions de la Plateforme transatlantique rendent leurs données de recherche accessibles pour réutilisation par d’autres, à moins que des contraintes éthiques, juridiques ou commerciales ne les en empêchent. Le principe directeur est « aussi ouvert que possible, aussi fermé que nécessaire ». Toute restriction à la communication des données doit être clairement justifiée dans le plan de gestion des données. Les bailleurs de fonds de la Plateforme transatlantique appuient le principe selon lequel les données de recherche générées à l’aide de fonds publics constituent un bien public et doivent être gérées conformément aux </w:t>
      </w:r>
      <w:hyperlink r:id="rId5" w:tgtFrame="_blank" w:history="1">
        <w:r w:rsidRPr="0062357C">
          <w:rPr>
            <w:rStyle w:val="Hyperlink"/>
            <w:lang w:val="fr-CA"/>
          </w:rPr>
          <w:t>principes FAIR</w:t>
        </w:r>
      </w:hyperlink>
      <w:r w:rsidRPr="0062357C">
        <w:rPr>
          <w:lang w:val="fr-CA"/>
        </w:rPr>
        <w:t xml:space="preserve"> (en anglais), c’est-à-dire qu’elles doivent être faciles à trouver, accessibles, interopérables et réutilisables.</w:t>
      </w:r>
    </w:p>
    <w:p w14:paraId="4E6C52B3" w14:textId="77777777" w:rsidR="0062357C" w:rsidRPr="0062357C" w:rsidRDefault="0062357C" w:rsidP="0062357C">
      <w:pPr>
        <w:numPr>
          <w:ilvl w:val="0"/>
          <w:numId w:val="1"/>
        </w:numPr>
        <w:rPr>
          <w:b/>
          <w:bCs/>
          <w:lang w:val="fr-CA"/>
        </w:rPr>
      </w:pPr>
      <w:r w:rsidRPr="0062357C">
        <w:rPr>
          <w:b/>
          <w:lang w:val="fr-CA"/>
        </w:rPr>
        <w:t xml:space="preserve"> Description des données</w:t>
      </w:r>
    </w:p>
    <w:p w14:paraId="2CAD89AD" w14:textId="77777777" w:rsidR="0062357C" w:rsidRPr="0062357C" w:rsidRDefault="0062357C" w:rsidP="0062357C">
      <w:pPr>
        <w:rPr>
          <w:lang w:val="fr-CA"/>
        </w:rPr>
      </w:pPr>
      <w:r w:rsidRPr="0062357C">
        <w:rPr>
          <w:lang w:val="fr-CA"/>
        </w:rPr>
        <w:t>Décrivez tous les ensembles de données existants qui seront utilisés dans le cadre du projet. Précisez les types de données numériques et de métadonnées connexes qui seront générées, recueillies ou traitées, ainsi que la façon dont elles seront enregistrées et formatées à l’appui de la reproductibilité et de la réutilisation. Il peut s’agir, par exemple, de photographies, de données d’entrevue, de cartes, de graphiques, de vidéos, de feuilles de calcul, d’enregistrements audio, de bases de données, de matériel didactique et de code logiciel.</w:t>
      </w:r>
    </w:p>
    <w:p w14:paraId="188773DD" w14:textId="77777777" w:rsidR="0062357C" w:rsidRPr="0062357C" w:rsidRDefault="0062357C" w:rsidP="0062357C">
      <w:pPr>
        <w:numPr>
          <w:ilvl w:val="0"/>
          <w:numId w:val="1"/>
        </w:numPr>
        <w:rPr>
          <w:b/>
          <w:bCs/>
          <w:lang w:val="fr-CA"/>
        </w:rPr>
      </w:pPr>
      <w:r w:rsidRPr="0062357C">
        <w:rPr>
          <w:b/>
          <w:lang w:val="fr-CA"/>
        </w:rPr>
        <w:t xml:space="preserve">Aspects éthiques et juridiques </w:t>
      </w:r>
    </w:p>
    <w:p w14:paraId="1F7499BD" w14:textId="77777777" w:rsidR="0062357C" w:rsidRPr="0062357C" w:rsidRDefault="0062357C" w:rsidP="0062357C">
      <w:pPr>
        <w:rPr>
          <w:lang w:val="fr-CA"/>
        </w:rPr>
      </w:pPr>
      <w:r w:rsidRPr="0062357C">
        <w:rPr>
          <w:lang w:val="fr-CA"/>
        </w:rPr>
        <w:t>Décrivez toute contrainte éthique, juridique ou réglementaire qui a une incidence sur la collecte, le stockage ou la communication des données. Expliquez comment seront traitées les questions telles que la vie privée, la confidentialité, la sécurité des données, la propriété intellectuelle et la protection des données. Si les données sont recueillies auprès d’êtres humains, décrivez les procédures de consentement ou les stratégies d’anonymisation qui seront utilisées afin de permettre la communication future des données. S’il y a lieu, clarifier la propriété du droit d’auteur et des droits de propriété intellectuelle des données nouvellement générées.</w:t>
      </w:r>
    </w:p>
    <w:p w14:paraId="573AA0D4" w14:textId="77777777" w:rsidR="0062357C" w:rsidRPr="0062357C" w:rsidRDefault="0062357C" w:rsidP="0062357C">
      <w:pPr>
        <w:numPr>
          <w:ilvl w:val="0"/>
          <w:numId w:val="1"/>
        </w:numPr>
        <w:rPr>
          <w:b/>
          <w:bCs/>
          <w:lang w:val="fr-CA"/>
        </w:rPr>
      </w:pPr>
      <w:r w:rsidRPr="0062357C">
        <w:rPr>
          <w:b/>
          <w:lang w:val="fr-CA"/>
        </w:rPr>
        <w:t>Responsabilités et méthodologie de gestion</w:t>
      </w:r>
    </w:p>
    <w:p w14:paraId="7F38D58E" w14:textId="77777777" w:rsidR="0062357C" w:rsidRPr="0062357C" w:rsidRDefault="0062357C" w:rsidP="0062357C">
      <w:pPr>
        <w:rPr>
          <w:lang w:val="fr-CA"/>
        </w:rPr>
      </w:pPr>
      <w:r w:rsidRPr="0062357C">
        <w:rPr>
          <w:lang w:val="fr-CA"/>
        </w:rPr>
        <w:t>Définissez les rôles et responsabilités en matière de gestion des données au sein du projet, y compris ceux des établissements partenaires. Décrivez les procédures de collecte, de contrôle qualité, de documentation, de stockage, de sauvegarde et de préservation à long terme des données.</w:t>
      </w:r>
    </w:p>
    <w:p w14:paraId="4265A20B" w14:textId="77777777" w:rsidR="0062357C" w:rsidRPr="0062357C" w:rsidRDefault="0062357C" w:rsidP="0062357C">
      <w:pPr>
        <w:numPr>
          <w:ilvl w:val="0"/>
          <w:numId w:val="1"/>
        </w:numPr>
        <w:rPr>
          <w:b/>
          <w:bCs/>
          <w:lang w:val="fr-CA"/>
        </w:rPr>
      </w:pPr>
      <w:r w:rsidRPr="0062357C">
        <w:rPr>
          <w:b/>
          <w:lang w:val="fr-CA"/>
        </w:rPr>
        <w:t>Formats de publication, normes, mécanismes et dépôts</w:t>
      </w:r>
    </w:p>
    <w:p w14:paraId="50066AC5" w14:textId="77777777" w:rsidR="0062357C" w:rsidRPr="0062357C" w:rsidRDefault="0062357C" w:rsidP="0062357C">
      <w:pPr>
        <w:rPr>
          <w:lang w:val="fr-CA"/>
        </w:rPr>
      </w:pPr>
      <w:r w:rsidRPr="0062357C">
        <w:rPr>
          <w:lang w:val="fr-CA"/>
        </w:rPr>
        <w:t xml:space="preserve">Décrivez les formats, les normes et les mécanismes par lesquels les données seront rendues accessibles conformément aux </w:t>
      </w:r>
      <w:hyperlink r:id="rId6" w:tgtFrame="_blank" w:history="1">
        <w:r w:rsidRPr="0062357C">
          <w:rPr>
            <w:rStyle w:val="Hyperlink"/>
            <w:lang w:val="fr-CA"/>
          </w:rPr>
          <w:t>principes FAIR</w:t>
        </w:r>
      </w:hyperlink>
      <w:r w:rsidRPr="0062357C">
        <w:rPr>
          <w:lang w:val="fr-CA"/>
        </w:rPr>
        <w:t xml:space="preserve"> (en anglais). S’il y a lieu, indiquez les types de données (p. ex. formats de fichiers), les volumes de données prévus et les normes relatives aux </w:t>
      </w:r>
      <w:r w:rsidRPr="0062357C">
        <w:rPr>
          <w:lang w:val="fr-CA"/>
        </w:rPr>
        <w:lastRenderedPageBreak/>
        <w:t xml:space="preserve">métadonnées (p. ex. Dublin </w:t>
      </w:r>
      <w:proofErr w:type="spellStart"/>
      <w:r w:rsidRPr="0062357C">
        <w:rPr>
          <w:lang w:val="fr-CA"/>
        </w:rPr>
        <w:t>Core</w:t>
      </w:r>
      <w:proofErr w:type="spellEnd"/>
      <w:r w:rsidRPr="0062357C">
        <w:rPr>
          <w:lang w:val="fr-CA"/>
        </w:rPr>
        <w:t xml:space="preserve">). </w:t>
      </w:r>
      <w:proofErr w:type="gramStart"/>
      <w:r w:rsidRPr="0062357C">
        <w:rPr>
          <w:lang w:val="fr-CA"/>
        </w:rPr>
        <w:t>Précisez le</w:t>
      </w:r>
      <w:proofErr w:type="gramEnd"/>
      <w:r w:rsidRPr="0062357C">
        <w:rPr>
          <w:lang w:val="fr-CA"/>
        </w:rPr>
        <w:t xml:space="preserve"> ou les dépôts où les données seront stockées (p. ex. dépôt d’un établissement ou dépôts institutionnels internationaux reconnus comme </w:t>
      </w:r>
      <w:proofErr w:type="spellStart"/>
      <w:r w:rsidRPr="0062357C">
        <w:rPr>
          <w:lang w:val="fr-CA"/>
        </w:rPr>
        <w:t>Zenodo</w:t>
      </w:r>
      <w:proofErr w:type="spellEnd"/>
      <w:r w:rsidRPr="0062357C">
        <w:rPr>
          <w:lang w:val="fr-CA"/>
        </w:rPr>
        <w:t>).</w:t>
      </w:r>
    </w:p>
    <w:p w14:paraId="213ADB30" w14:textId="77777777" w:rsidR="0062357C" w:rsidRPr="0062357C" w:rsidRDefault="0062357C" w:rsidP="0062357C">
      <w:pPr>
        <w:numPr>
          <w:ilvl w:val="0"/>
          <w:numId w:val="1"/>
        </w:numPr>
        <w:rPr>
          <w:lang w:val="fr-CA"/>
        </w:rPr>
      </w:pPr>
      <w:r w:rsidRPr="0062357C">
        <w:rPr>
          <w:b/>
          <w:lang w:val="fr-CA"/>
        </w:rPr>
        <w:t xml:space="preserve">Préservation et communication après la fin du projet </w:t>
      </w:r>
    </w:p>
    <w:p w14:paraId="69F78F2F" w14:textId="77777777" w:rsidR="0062357C" w:rsidRPr="0062357C" w:rsidRDefault="0062357C" w:rsidP="0062357C">
      <w:pPr>
        <w:rPr>
          <w:lang w:val="fr-CA"/>
        </w:rPr>
      </w:pPr>
      <w:r w:rsidRPr="0062357C">
        <w:rPr>
          <w:lang w:val="fr-CA"/>
        </w:rPr>
        <w:t xml:space="preserve">Décrivez les politiques de préservation et de communication des données pendant et après le projet, y compris toute période d’embargo, s’il y a lieu. Indiquez pendant combien de temps les données demeureront accessibles au public et qui sera chargé d’en assurer l’accès ainsi que la préservation continue. Ces aspects sont habituellement régis par les politiques du ou des dépôts de données choisis. </w:t>
      </w:r>
    </w:p>
    <w:p w14:paraId="12BB9D2E" w14:textId="77777777" w:rsidR="00E62D05" w:rsidRDefault="00E62D05"/>
    <w:sectPr w:rsidR="00E62D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B74C8"/>
    <w:multiLevelType w:val="hybridMultilevel"/>
    <w:tmpl w:val="355C509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538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7C"/>
    <w:rsid w:val="00216755"/>
    <w:rsid w:val="0062357C"/>
    <w:rsid w:val="00E62D05"/>
    <w:rsid w:val="00EB48B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1985"/>
  <w15:chartTrackingRefBased/>
  <w15:docId w15:val="{B6A1554D-274E-401D-9962-031CBE6C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23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23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235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235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235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235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235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235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235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235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235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235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235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235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235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235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235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2357C"/>
    <w:rPr>
      <w:rFonts w:eastAsiaTheme="majorEastAsia" w:cstheme="majorBidi"/>
      <w:color w:val="272727" w:themeColor="text1" w:themeTint="D8"/>
    </w:rPr>
  </w:style>
  <w:style w:type="paragraph" w:styleId="Titel">
    <w:name w:val="Title"/>
    <w:basedOn w:val="Standard"/>
    <w:next w:val="Standard"/>
    <w:link w:val="TitelZchn"/>
    <w:uiPriority w:val="10"/>
    <w:qFormat/>
    <w:rsid w:val="00623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235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235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235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235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2357C"/>
    <w:rPr>
      <w:i/>
      <w:iCs/>
      <w:color w:val="404040" w:themeColor="text1" w:themeTint="BF"/>
    </w:rPr>
  </w:style>
  <w:style w:type="paragraph" w:styleId="Listenabsatz">
    <w:name w:val="List Paragraph"/>
    <w:basedOn w:val="Standard"/>
    <w:uiPriority w:val="34"/>
    <w:qFormat/>
    <w:rsid w:val="0062357C"/>
    <w:pPr>
      <w:ind w:left="720"/>
      <w:contextualSpacing/>
    </w:pPr>
  </w:style>
  <w:style w:type="character" w:styleId="IntensiveHervorhebung">
    <w:name w:val="Intense Emphasis"/>
    <w:basedOn w:val="Absatz-Standardschriftart"/>
    <w:uiPriority w:val="21"/>
    <w:qFormat/>
    <w:rsid w:val="0062357C"/>
    <w:rPr>
      <w:i/>
      <w:iCs/>
      <w:color w:val="0F4761" w:themeColor="accent1" w:themeShade="BF"/>
    </w:rPr>
  </w:style>
  <w:style w:type="paragraph" w:styleId="IntensivesZitat">
    <w:name w:val="Intense Quote"/>
    <w:basedOn w:val="Standard"/>
    <w:next w:val="Standard"/>
    <w:link w:val="IntensivesZitatZchn"/>
    <w:uiPriority w:val="30"/>
    <w:qFormat/>
    <w:rsid w:val="00623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2357C"/>
    <w:rPr>
      <w:i/>
      <w:iCs/>
      <w:color w:val="0F4761" w:themeColor="accent1" w:themeShade="BF"/>
    </w:rPr>
  </w:style>
  <w:style w:type="character" w:styleId="IntensiverVerweis">
    <w:name w:val="Intense Reference"/>
    <w:basedOn w:val="Absatz-Standardschriftart"/>
    <w:uiPriority w:val="32"/>
    <w:qFormat/>
    <w:rsid w:val="0062357C"/>
    <w:rPr>
      <w:b/>
      <w:bCs/>
      <w:smallCaps/>
      <w:color w:val="0F4761" w:themeColor="accent1" w:themeShade="BF"/>
      <w:spacing w:val="5"/>
    </w:rPr>
  </w:style>
  <w:style w:type="character" w:styleId="Hyperlink">
    <w:name w:val="Hyperlink"/>
    <w:basedOn w:val="Absatz-Standardschriftart"/>
    <w:uiPriority w:val="99"/>
    <w:unhideWhenUsed/>
    <w:rsid w:val="0062357C"/>
    <w:rPr>
      <w:color w:val="467886" w:themeColor="hyperlink"/>
      <w:u w:val="single"/>
    </w:rPr>
  </w:style>
  <w:style w:type="character" w:styleId="NichtaufgelsteErwhnung">
    <w:name w:val="Unresolved Mention"/>
    <w:basedOn w:val="Absatz-Standardschriftart"/>
    <w:uiPriority w:val="99"/>
    <w:semiHidden/>
    <w:unhideWhenUsed/>
    <w:rsid w:val="00623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fair.org/fair-principles/" TargetMode="External"/><Relationship Id="rId5" Type="http://schemas.openxmlformats.org/officeDocument/2006/relationships/hyperlink" Target="https://www.go-fair.org/fair-princip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3568</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Claßen, Sigrid</dc:creator>
  <cp:keywords/>
  <dc:description/>
  <cp:lastModifiedBy>Claßen, Sigrid</cp:lastModifiedBy>
  <cp:revision>1</cp:revision>
  <dcterms:created xsi:type="dcterms:W3CDTF">2026-09-03T05:52:00Z</dcterms:created>
  <dcterms:modified xsi:type="dcterms:W3CDTF">2026-09-03T05:52:00Z</dcterms:modified>
</cp:coreProperties>
</file>